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8CD4" w14:textId="284733A1" w:rsidR="00C67672" w:rsidRPr="004F151E" w:rsidRDefault="00C67672" w:rsidP="00C67672">
      <w:pPr>
        <w:spacing w:after="160" w:line="259" w:lineRule="auto"/>
        <w:contextualSpacing w:val="0"/>
        <w:jc w:val="center"/>
        <w:rPr>
          <w:b/>
          <w:bCs/>
          <w:szCs w:val="24"/>
        </w:rPr>
      </w:pPr>
      <w:r w:rsidRPr="004F151E">
        <w:rPr>
          <w:b/>
          <w:bCs/>
          <w:szCs w:val="24"/>
        </w:rPr>
        <w:t>Sample Record Retention Policy</w:t>
      </w:r>
    </w:p>
    <w:p w14:paraId="764D8360" w14:textId="5DC43AA4" w:rsidR="00C67672" w:rsidRPr="00C67672" w:rsidRDefault="00C67672" w:rsidP="00C67672">
      <w:pPr>
        <w:spacing w:after="160" w:line="259" w:lineRule="auto"/>
        <w:contextualSpacing w:val="0"/>
        <w:jc w:val="both"/>
        <w:rPr>
          <w:b/>
          <w:bCs/>
          <w:szCs w:val="24"/>
        </w:rPr>
      </w:pPr>
      <w:r w:rsidRPr="00C67672">
        <w:rPr>
          <w:b/>
          <w:bCs/>
          <w:szCs w:val="24"/>
        </w:rPr>
        <w:t>Retention Guidelines</w:t>
      </w:r>
    </w:p>
    <w:p w14:paraId="16B5E314" w14:textId="77777777" w:rsidR="00C67672" w:rsidRPr="00C67672" w:rsidRDefault="00C67672" w:rsidP="00C67672">
      <w:pPr>
        <w:spacing w:after="160" w:line="259" w:lineRule="auto"/>
        <w:contextualSpacing w:val="0"/>
        <w:jc w:val="both"/>
        <w:rPr>
          <w:szCs w:val="24"/>
        </w:rPr>
      </w:pPr>
      <w:r w:rsidRPr="00C67672">
        <w:rPr>
          <w:szCs w:val="24"/>
        </w:rPr>
        <w:t>If you have malpractice insurance, it is recommended that you contact your carrier for additional information and advice when drafting the firm’s record retention policy.  Many have sample policies, guidelines, and resources beyond what is contained herein.</w:t>
      </w:r>
    </w:p>
    <w:p w14:paraId="5AD52AA4" w14:textId="77777777" w:rsidR="00C67672" w:rsidRPr="00C67672" w:rsidRDefault="00C67672" w:rsidP="00C67672">
      <w:pPr>
        <w:widowControl w:val="0"/>
        <w:numPr>
          <w:ilvl w:val="0"/>
          <w:numId w:val="2"/>
        </w:numPr>
        <w:tabs>
          <w:tab w:val="left" w:pos="943"/>
        </w:tabs>
        <w:autoSpaceDE w:val="0"/>
        <w:autoSpaceDN w:val="0"/>
        <w:spacing w:before="198" w:after="160" w:line="259" w:lineRule="auto"/>
        <w:ind w:left="540" w:right="-20" w:hanging="540"/>
        <w:contextualSpacing w:val="0"/>
        <w:jc w:val="both"/>
        <w:rPr>
          <w:szCs w:val="24"/>
        </w:rPr>
      </w:pPr>
      <w:r w:rsidRPr="00C67672">
        <w:rPr>
          <w:b/>
          <w:szCs w:val="24"/>
        </w:rPr>
        <w:t xml:space="preserve">Closing the File: </w:t>
      </w:r>
    </w:p>
    <w:p w14:paraId="3ED1AE25" w14:textId="77777777" w:rsidR="00C67672" w:rsidRPr="00C67672" w:rsidRDefault="00C67672" w:rsidP="00C67672">
      <w:pPr>
        <w:widowControl w:val="0"/>
        <w:numPr>
          <w:ilvl w:val="1"/>
          <w:numId w:val="4"/>
        </w:numPr>
        <w:tabs>
          <w:tab w:val="left" w:pos="943"/>
        </w:tabs>
        <w:autoSpaceDE w:val="0"/>
        <w:autoSpaceDN w:val="0"/>
        <w:spacing w:before="198" w:after="160" w:line="259" w:lineRule="auto"/>
        <w:ind w:right="-20"/>
        <w:contextualSpacing w:val="0"/>
        <w:jc w:val="both"/>
        <w:rPr>
          <w:szCs w:val="24"/>
        </w:rPr>
      </w:pPr>
      <w:r w:rsidRPr="00C67672">
        <w:rPr>
          <w:szCs w:val="24"/>
        </w:rPr>
        <w:t>The lead lawyer assigned to the file prepares a closing letter including a final distribution and accounting of all trust account balances relating to the file and an inventory of all client property returned to the client with the letter. All personal documents must be returned to the client and electronic copies maintained in the firm’s file; these include:</w:t>
      </w:r>
    </w:p>
    <w:p w14:paraId="0D128FBF"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szCs w:val="24"/>
        </w:rPr>
      </w:pPr>
      <w:r w:rsidRPr="00C67672">
        <w:rPr>
          <w:bCs/>
          <w:szCs w:val="24"/>
        </w:rPr>
        <w:t xml:space="preserve">corporate </w:t>
      </w:r>
      <w:proofErr w:type="gramStart"/>
      <w:r w:rsidRPr="00C67672">
        <w:rPr>
          <w:bCs/>
          <w:szCs w:val="24"/>
        </w:rPr>
        <w:t>documents;</w:t>
      </w:r>
      <w:proofErr w:type="gramEnd"/>
    </w:p>
    <w:p w14:paraId="1C213EBF"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szCs w:val="24"/>
        </w:rPr>
      </w:pPr>
      <w:r w:rsidRPr="00C67672">
        <w:rPr>
          <w:bCs/>
          <w:szCs w:val="24"/>
        </w:rPr>
        <w:t xml:space="preserve">bank </w:t>
      </w:r>
      <w:proofErr w:type="gramStart"/>
      <w:r w:rsidRPr="00C67672">
        <w:rPr>
          <w:bCs/>
          <w:szCs w:val="24"/>
        </w:rPr>
        <w:t>records</w:t>
      </w:r>
      <w:r w:rsidRPr="00C67672">
        <w:rPr>
          <w:szCs w:val="24"/>
        </w:rPr>
        <w:t>;</w:t>
      </w:r>
      <w:proofErr w:type="gramEnd"/>
    </w:p>
    <w:p w14:paraId="4270ED3E"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szCs w:val="24"/>
        </w:rPr>
      </w:pPr>
      <w:r w:rsidRPr="00C67672">
        <w:rPr>
          <w:szCs w:val="24"/>
        </w:rPr>
        <w:t xml:space="preserve">recorded </w:t>
      </w:r>
      <w:proofErr w:type="gramStart"/>
      <w:r w:rsidRPr="00C67672">
        <w:rPr>
          <w:szCs w:val="24"/>
        </w:rPr>
        <w:t>deeds;</w:t>
      </w:r>
      <w:proofErr w:type="gramEnd"/>
    </w:p>
    <w:p w14:paraId="014A44C9"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szCs w:val="24"/>
        </w:rPr>
      </w:pPr>
      <w:r w:rsidRPr="00C67672">
        <w:rPr>
          <w:szCs w:val="24"/>
        </w:rPr>
        <w:t xml:space="preserve">accountants' audit </w:t>
      </w:r>
      <w:proofErr w:type="gramStart"/>
      <w:r w:rsidRPr="00C67672">
        <w:rPr>
          <w:szCs w:val="24"/>
        </w:rPr>
        <w:t>reports;</w:t>
      </w:r>
      <w:proofErr w:type="gramEnd"/>
    </w:p>
    <w:p w14:paraId="193D7DA8"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szCs w:val="24"/>
        </w:rPr>
      </w:pPr>
      <w:r w:rsidRPr="00C67672">
        <w:rPr>
          <w:bCs/>
          <w:szCs w:val="24"/>
        </w:rPr>
        <w:t xml:space="preserve">expense </w:t>
      </w:r>
      <w:proofErr w:type="gramStart"/>
      <w:r w:rsidRPr="00C67672">
        <w:rPr>
          <w:bCs/>
          <w:szCs w:val="24"/>
        </w:rPr>
        <w:t>records;</w:t>
      </w:r>
      <w:proofErr w:type="gramEnd"/>
    </w:p>
    <w:p w14:paraId="670A5711"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szCs w:val="24"/>
        </w:rPr>
      </w:pPr>
      <w:r w:rsidRPr="00C67672">
        <w:rPr>
          <w:bCs/>
          <w:szCs w:val="24"/>
        </w:rPr>
        <w:t>tax records and</w:t>
      </w:r>
      <w:r w:rsidRPr="00C67672">
        <w:rPr>
          <w:szCs w:val="24"/>
        </w:rPr>
        <w:t xml:space="preserve"> tax returns (including all related documents and worksheets</w:t>
      </w:r>
      <w:proofErr w:type="gramStart"/>
      <w:r w:rsidRPr="00C67672">
        <w:rPr>
          <w:szCs w:val="24"/>
        </w:rPr>
        <w:t>);</w:t>
      </w:r>
      <w:proofErr w:type="gramEnd"/>
    </w:p>
    <w:p w14:paraId="12BB25FF"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szCs w:val="24"/>
        </w:rPr>
      </w:pPr>
      <w:r w:rsidRPr="00C67672">
        <w:rPr>
          <w:szCs w:val="24"/>
        </w:rPr>
        <w:t xml:space="preserve">year-end financial statements and depreciation </w:t>
      </w:r>
      <w:proofErr w:type="gramStart"/>
      <w:r w:rsidRPr="00C67672">
        <w:rPr>
          <w:szCs w:val="24"/>
        </w:rPr>
        <w:t>schedules;</w:t>
      </w:r>
      <w:proofErr w:type="gramEnd"/>
    </w:p>
    <w:p w14:paraId="30AD5857"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szCs w:val="24"/>
        </w:rPr>
      </w:pPr>
      <w:r w:rsidRPr="00C67672">
        <w:rPr>
          <w:szCs w:val="24"/>
        </w:rPr>
        <w:t xml:space="preserve">accounting </w:t>
      </w:r>
      <w:proofErr w:type="gramStart"/>
      <w:r w:rsidRPr="00C67672">
        <w:rPr>
          <w:szCs w:val="24"/>
        </w:rPr>
        <w:t>journals;</w:t>
      </w:r>
      <w:proofErr w:type="gramEnd"/>
    </w:p>
    <w:p w14:paraId="0522DDFF"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szCs w:val="24"/>
        </w:rPr>
      </w:pPr>
      <w:r w:rsidRPr="00C67672">
        <w:rPr>
          <w:szCs w:val="24"/>
        </w:rPr>
        <w:t>bills of sale (for important purchases</w:t>
      </w:r>
      <w:proofErr w:type="gramStart"/>
      <w:r w:rsidRPr="00C67672">
        <w:rPr>
          <w:szCs w:val="24"/>
        </w:rPr>
        <w:t>);</w:t>
      </w:r>
      <w:proofErr w:type="gramEnd"/>
    </w:p>
    <w:p w14:paraId="25AB31B1"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szCs w:val="24"/>
        </w:rPr>
      </w:pPr>
      <w:r w:rsidRPr="00C67672">
        <w:rPr>
          <w:szCs w:val="24"/>
        </w:rPr>
        <w:t xml:space="preserve">minute books, bylaws, and certificates of </w:t>
      </w:r>
      <w:proofErr w:type="gramStart"/>
      <w:r w:rsidRPr="00C67672">
        <w:rPr>
          <w:szCs w:val="24"/>
        </w:rPr>
        <w:t>incorporation;</w:t>
      </w:r>
      <w:proofErr w:type="gramEnd"/>
    </w:p>
    <w:p w14:paraId="339E13AA"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bCs/>
          <w:szCs w:val="24"/>
        </w:rPr>
      </w:pPr>
      <w:r w:rsidRPr="00C67672">
        <w:rPr>
          <w:bCs/>
          <w:szCs w:val="24"/>
        </w:rPr>
        <w:t xml:space="preserve">capital stock and bond records dealing with capital </w:t>
      </w:r>
      <w:proofErr w:type="gramStart"/>
      <w:r w:rsidRPr="00C67672">
        <w:rPr>
          <w:bCs/>
          <w:szCs w:val="24"/>
        </w:rPr>
        <w:t>structure;</w:t>
      </w:r>
      <w:proofErr w:type="gramEnd"/>
    </w:p>
    <w:p w14:paraId="52653BB8"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bCs/>
          <w:szCs w:val="24"/>
        </w:rPr>
      </w:pPr>
      <w:r w:rsidRPr="00C67672">
        <w:rPr>
          <w:bCs/>
          <w:szCs w:val="24"/>
        </w:rPr>
        <w:t xml:space="preserve">insurance policies and </w:t>
      </w:r>
      <w:proofErr w:type="gramStart"/>
      <w:r w:rsidRPr="00C67672">
        <w:rPr>
          <w:bCs/>
          <w:szCs w:val="24"/>
        </w:rPr>
        <w:t>records;</w:t>
      </w:r>
      <w:proofErr w:type="gramEnd"/>
    </w:p>
    <w:p w14:paraId="10B0EF51"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bCs/>
          <w:szCs w:val="24"/>
        </w:rPr>
      </w:pPr>
      <w:r w:rsidRPr="00C67672">
        <w:rPr>
          <w:bCs/>
          <w:szCs w:val="24"/>
        </w:rPr>
        <w:t xml:space="preserve">property records and property </w:t>
      </w:r>
      <w:proofErr w:type="gramStart"/>
      <w:r w:rsidRPr="00C67672">
        <w:rPr>
          <w:bCs/>
          <w:szCs w:val="24"/>
        </w:rPr>
        <w:t>appraisals;</w:t>
      </w:r>
      <w:proofErr w:type="gramEnd"/>
    </w:p>
    <w:p w14:paraId="6ED9B85C"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bCs/>
          <w:szCs w:val="24"/>
        </w:rPr>
      </w:pPr>
      <w:r w:rsidRPr="00C67672">
        <w:rPr>
          <w:bCs/>
          <w:szCs w:val="24"/>
        </w:rPr>
        <w:t xml:space="preserve">copyright and trademark </w:t>
      </w:r>
      <w:proofErr w:type="gramStart"/>
      <w:r w:rsidRPr="00C67672">
        <w:rPr>
          <w:bCs/>
          <w:szCs w:val="24"/>
        </w:rPr>
        <w:t>registrations;</w:t>
      </w:r>
      <w:proofErr w:type="gramEnd"/>
    </w:p>
    <w:p w14:paraId="31829BA2"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bCs/>
          <w:szCs w:val="24"/>
        </w:rPr>
      </w:pPr>
      <w:r w:rsidRPr="00C67672">
        <w:rPr>
          <w:bCs/>
          <w:szCs w:val="24"/>
        </w:rPr>
        <w:t xml:space="preserve">patents and all related documents and </w:t>
      </w:r>
      <w:proofErr w:type="gramStart"/>
      <w:r w:rsidRPr="00C67672">
        <w:rPr>
          <w:bCs/>
          <w:szCs w:val="24"/>
        </w:rPr>
        <w:t>correspondence;</w:t>
      </w:r>
      <w:proofErr w:type="gramEnd"/>
    </w:p>
    <w:p w14:paraId="7A995337"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bCs/>
          <w:szCs w:val="24"/>
        </w:rPr>
      </w:pPr>
      <w:r w:rsidRPr="00C67672">
        <w:rPr>
          <w:bCs/>
          <w:szCs w:val="24"/>
        </w:rPr>
        <w:t>major contracts and leases; and</w:t>
      </w:r>
    </w:p>
    <w:p w14:paraId="671A5C1D" w14:textId="77777777" w:rsidR="00C67672" w:rsidRPr="00C67672" w:rsidRDefault="00C67672" w:rsidP="004F151E">
      <w:pPr>
        <w:widowControl w:val="0"/>
        <w:numPr>
          <w:ilvl w:val="0"/>
          <w:numId w:val="3"/>
        </w:numPr>
        <w:tabs>
          <w:tab w:val="left" w:pos="2744"/>
        </w:tabs>
        <w:autoSpaceDE w:val="0"/>
        <w:autoSpaceDN w:val="0"/>
        <w:ind w:left="2434" w:right="-14"/>
        <w:contextualSpacing w:val="0"/>
        <w:jc w:val="both"/>
        <w:rPr>
          <w:bCs/>
          <w:szCs w:val="24"/>
        </w:rPr>
      </w:pPr>
      <w:r w:rsidRPr="00C67672">
        <w:rPr>
          <w:bCs/>
          <w:szCs w:val="24"/>
        </w:rPr>
        <w:t>actuarial reports.</w:t>
      </w:r>
    </w:p>
    <w:p w14:paraId="794CBD8B" w14:textId="77777777" w:rsidR="00C67672" w:rsidRPr="00C67672" w:rsidRDefault="00C67672" w:rsidP="00C67672">
      <w:pPr>
        <w:widowControl w:val="0"/>
        <w:numPr>
          <w:ilvl w:val="1"/>
          <w:numId w:val="4"/>
        </w:numPr>
        <w:tabs>
          <w:tab w:val="left" w:pos="943"/>
        </w:tabs>
        <w:autoSpaceDE w:val="0"/>
        <w:autoSpaceDN w:val="0"/>
        <w:spacing w:before="198" w:after="160" w:line="259" w:lineRule="auto"/>
        <w:ind w:right="-20"/>
        <w:contextualSpacing w:val="0"/>
        <w:jc w:val="both"/>
        <w:rPr>
          <w:bCs/>
          <w:szCs w:val="24"/>
        </w:rPr>
      </w:pPr>
      <w:r w:rsidRPr="00C67672">
        <w:rPr>
          <w:bCs/>
          <w:szCs w:val="24"/>
        </w:rPr>
        <w:t>The lead lawyer reviews the file and removes all extraneous materials, including:</w:t>
      </w:r>
    </w:p>
    <w:p w14:paraId="101064C0" w14:textId="77777777" w:rsidR="00C67672" w:rsidRPr="00C67672" w:rsidRDefault="00C67672" w:rsidP="00C67672">
      <w:pPr>
        <w:widowControl w:val="0"/>
        <w:numPr>
          <w:ilvl w:val="2"/>
          <w:numId w:val="4"/>
        </w:numPr>
        <w:tabs>
          <w:tab w:val="left" w:pos="2023"/>
          <w:tab w:val="left" w:pos="2024"/>
        </w:tabs>
        <w:autoSpaceDE w:val="0"/>
        <w:autoSpaceDN w:val="0"/>
        <w:spacing w:before="199" w:after="160" w:line="259" w:lineRule="auto"/>
        <w:ind w:right="-20"/>
        <w:contextualSpacing w:val="0"/>
        <w:jc w:val="both"/>
        <w:rPr>
          <w:szCs w:val="24"/>
        </w:rPr>
      </w:pPr>
      <w:r w:rsidRPr="00C67672">
        <w:rPr>
          <w:szCs w:val="24"/>
        </w:rPr>
        <w:t>Legal memoranda, briefs, pleadings, and other documents that can be reproduced from other sources.</w:t>
      </w:r>
    </w:p>
    <w:p w14:paraId="5FF5D8EA" w14:textId="77777777" w:rsidR="00C67672" w:rsidRPr="00C67672" w:rsidRDefault="00C67672" w:rsidP="00C67672">
      <w:pPr>
        <w:widowControl w:val="0"/>
        <w:autoSpaceDE w:val="0"/>
        <w:autoSpaceDN w:val="0"/>
        <w:spacing w:before="7"/>
        <w:ind w:left="1080" w:right="-20"/>
        <w:contextualSpacing w:val="0"/>
        <w:jc w:val="both"/>
        <w:rPr>
          <w:rFonts w:eastAsia="Arial" w:cs="Arial"/>
          <w:szCs w:val="24"/>
        </w:rPr>
      </w:pPr>
    </w:p>
    <w:p w14:paraId="758F6790" w14:textId="77777777" w:rsidR="00C67672" w:rsidRPr="00C67672" w:rsidRDefault="00C67672" w:rsidP="00C67672">
      <w:pPr>
        <w:widowControl w:val="0"/>
        <w:numPr>
          <w:ilvl w:val="2"/>
          <w:numId w:val="4"/>
        </w:numPr>
        <w:tabs>
          <w:tab w:val="left" w:pos="2023"/>
          <w:tab w:val="left" w:pos="2024"/>
        </w:tabs>
        <w:autoSpaceDE w:val="0"/>
        <w:autoSpaceDN w:val="0"/>
        <w:spacing w:after="160" w:line="259" w:lineRule="auto"/>
        <w:ind w:right="-20"/>
        <w:contextualSpacing w:val="0"/>
        <w:jc w:val="both"/>
        <w:rPr>
          <w:szCs w:val="24"/>
        </w:rPr>
      </w:pPr>
      <w:r w:rsidRPr="00C67672">
        <w:rPr>
          <w:szCs w:val="24"/>
        </w:rPr>
        <w:t>Draft documents otherwise preserved in final form unless the process of creating the final document might later be an issue. Marked-up copies are often useful in the event questions later arise.</w:t>
      </w:r>
    </w:p>
    <w:p w14:paraId="1985085C" w14:textId="77777777" w:rsidR="00C67672" w:rsidRPr="00C67672" w:rsidRDefault="00C67672" w:rsidP="00C67672">
      <w:pPr>
        <w:widowControl w:val="0"/>
        <w:autoSpaceDE w:val="0"/>
        <w:autoSpaceDN w:val="0"/>
        <w:spacing w:before="3"/>
        <w:ind w:left="1080" w:right="-20"/>
        <w:contextualSpacing w:val="0"/>
        <w:jc w:val="both"/>
        <w:rPr>
          <w:rFonts w:eastAsia="Arial" w:cs="Arial"/>
          <w:szCs w:val="24"/>
        </w:rPr>
      </w:pPr>
    </w:p>
    <w:p w14:paraId="1F9E6D71" w14:textId="77777777" w:rsidR="00C67672" w:rsidRPr="00C67672" w:rsidRDefault="00C67672" w:rsidP="00C67672">
      <w:pPr>
        <w:widowControl w:val="0"/>
        <w:numPr>
          <w:ilvl w:val="2"/>
          <w:numId w:val="4"/>
        </w:numPr>
        <w:tabs>
          <w:tab w:val="left" w:pos="2024"/>
        </w:tabs>
        <w:autoSpaceDE w:val="0"/>
        <w:autoSpaceDN w:val="0"/>
        <w:spacing w:before="1" w:after="160" w:line="259" w:lineRule="auto"/>
        <w:ind w:right="-20"/>
        <w:contextualSpacing w:val="0"/>
        <w:jc w:val="both"/>
        <w:rPr>
          <w:szCs w:val="24"/>
        </w:rPr>
      </w:pPr>
      <w:r w:rsidRPr="00C67672">
        <w:rPr>
          <w:szCs w:val="24"/>
        </w:rPr>
        <w:t xml:space="preserve">Notes and memoranda recording nonpublic information regarding a </w:t>
      </w:r>
      <w:proofErr w:type="gramStart"/>
      <w:r w:rsidRPr="00C67672">
        <w:rPr>
          <w:szCs w:val="24"/>
        </w:rPr>
        <w:t>client</w:t>
      </w:r>
      <w:proofErr w:type="gramEnd"/>
      <w:r w:rsidRPr="00C67672">
        <w:rPr>
          <w:szCs w:val="24"/>
        </w:rPr>
        <w:t xml:space="preserve"> or its adversary can be destroyed.</w:t>
      </w:r>
    </w:p>
    <w:p w14:paraId="1BD94E7C" w14:textId="77777777" w:rsidR="00C67672" w:rsidRPr="00C67672" w:rsidRDefault="00C67672" w:rsidP="00C67672">
      <w:pPr>
        <w:widowControl w:val="0"/>
        <w:numPr>
          <w:ilvl w:val="2"/>
          <w:numId w:val="4"/>
        </w:numPr>
        <w:tabs>
          <w:tab w:val="left" w:pos="2024"/>
        </w:tabs>
        <w:autoSpaceDE w:val="0"/>
        <w:autoSpaceDN w:val="0"/>
        <w:spacing w:before="198" w:after="160" w:line="259" w:lineRule="auto"/>
        <w:ind w:right="-20"/>
        <w:contextualSpacing w:val="0"/>
        <w:jc w:val="both"/>
        <w:rPr>
          <w:szCs w:val="24"/>
        </w:rPr>
      </w:pPr>
      <w:r w:rsidRPr="00C67672">
        <w:rPr>
          <w:szCs w:val="24"/>
        </w:rPr>
        <w:lastRenderedPageBreak/>
        <w:t>Copies of published opinions and other available published material.</w:t>
      </w:r>
    </w:p>
    <w:p w14:paraId="7AA4BAFE" w14:textId="77777777" w:rsidR="00C67672" w:rsidRPr="00C67672" w:rsidRDefault="00C67672" w:rsidP="00C67672">
      <w:pPr>
        <w:widowControl w:val="0"/>
        <w:autoSpaceDE w:val="0"/>
        <w:autoSpaceDN w:val="0"/>
        <w:spacing w:before="6"/>
        <w:ind w:left="1080" w:right="-20"/>
        <w:contextualSpacing w:val="0"/>
        <w:jc w:val="both"/>
        <w:rPr>
          <w:rFonts w:eastAsia="Arial" w:cs="Arial"/>
          <w:szCs w:val="24"/>
        </w:rPr>
      </w:pPr>
    </w:p>
    <w:p w14:paraId="1CA69B36" w14:textId="77777777" w:rsidR="00C67672" w:rsidRPr="00C67672" w:rsidRDefault="00C67672" w:rsidP="00C67672">
      <w:pPr>
        <w:widowControl w:val="0"/>
        <w:numPr>
          <w:ilvl w:val="2"/>
          <w:numId w:val="4"/>
        </w:numPr>
        <w:tabs>
          <w:tab w:val="left" w:pos="2024"/>
        </w:tabs>
        <w:autoSpaceDE w:val="0"/>
        <w:autoSpaceDN w:val="0"/>
        <w:spacing w:before="1" w:after="160" w:line="259" w:lineRule="auto"/>
        <w:ind w:right="-20" w:hanging="361"/>
        <w:contextualSpacing w:val="0"/>
        <w:jc w:val="both"/>
        <w:rPr>
          <w:szCs w:val="24"/>
        </w:rPr>
      </w:pPr>
      <w:r w:rsidRPr="00C67672">
        <w:rPr>
          <w:szCs w:val="24"/>
        </w:rPr>
        <w:t>Duplicate documents.</w:t>
      </w:r>
    </w:p>
    <w:p w14:paraId="3E9D20B0" w14:textId="77777777" w:rsidR="00C67672" w:rsidRPr="00C67672" w:rsidRDefault="00C67672" w:rsidP="00C67672">
      <w:pPr>
        <w:widowControl w:val="0"/>
        <w:numPr>
          <w:ilvl w:val="2"/>
          <w:numId w:val="4"/>
        </w:numPr>
        <w:tabs>
          <w:tab w:val="left" w:pos="2024"/>
        </w:tabs>
        <w:autoSpaceDE w:val="0"/>
        <w:autoSpaceDN w:val="0"/>
        <w:spacing w:before="197" w:after="160" w:line="259" w:lineRule="auto"/>
        <w:ind w:right="-20"/>
        <w:contextualSpacing w:val="0"/>
        <w:jc w:val="both"/>
        <w:rPr>
          <w:szCs w:val="24"/>
        </w:rPr>
      </w:pPr>
      <w:r w:rsidRPr="00C67672">
        <w:rPr>
          <w:szCs w:val="24"/>
        </w:rPr>
        <w:t>Depositions may be culled particularly if electronic transcriptions are available.</w:t>
      </w:r>
    </w:p>
    <w:p w14:paraId="2CFBD103" w14:textId="77777777" w:rsidR="00C67672" w:rsidRPr="00C67672" w:rsidRDefault="00C67672" w:rsidP="00C67672">
      <w:pPr>
        <w:widowControl w:val="0"/>
        <w:autoSpaceDE w:val="0"/>
        <w:autoSpaceDN w:val="0"/>
        <w:ind w:left="1080" w:right="-20"/>
        <w:contextualSpacing w:val="0"/>
        <w:jc w:val="both"/>
        <w:rPr>
          <w:rFonts w:eastAsia="Arial" w:cs="Arial"/>
          <w:szCs w:val="24"/>
        </w:rPr>
      </w:pPr>
    </w:p>
    <w:p w14:paraId="538E2818" w14:textId="77777777" w:rsidR="00C67672" w:rsidRPr="00C67672" w:rsidRDefault="00C67672" w:rsidP="00C67672">
      <w:pPr>
        <w:widowControl w:val="0"/>
        <w:numPr>
          <w:ilvl w:val="2"/>
          <w:numId w:val="4"/>
        </w:numPr>
        <w:tabs>
          <w:tab w:val="left" w:pos="2024"/>
        </w:tabs>
        <w:autoSpaceDE w:val="0"/>
        <w:autoSpaceDN w:val="0"/>
        <w:spacing w:after="160" w:line="235" w:lineRule="auto"/>
        <w:ind w:right="-20"/>
        <w:contextualSpacing w:val="0"/>
        <w:jc w:val="both"/>
        <w:rPr>
          <w:szCs w:val="24"/>
        </w:rPr>
      </w:pPr>
      <w:r w:rsidRPr="00C67672">
        <w:rPr>
          <w:szCs w:val="24"/>
        </w:rPr>
        <w:t>Extraneous material such as scratch pads, legal pads, and paper clips.</w:t>
      </w:r>
    </w:p>
    <w:p w14:paraId="0FA50FEA" w14:textId="77777777" w:rsidR="00C67672" w:rsidRPr="00C67672" w:rsidRDefault="00C67672" w:rsidP="00C67672">
      <w:pPr>
        <w:widowControl w:val="0"/>
        <w:numPr>
          <w:ilvl w:val="1"/>
          <w:numId w:val="4"/>
        </w:numPr>
        <w:tabs>
          <w:tab w:val="left" w:pos="943"/>
        </w:tabs>
        <w:autoSpaceDE w:val="0"/>
        <w:autoSpaceDN w:val="0"/>
        <w:spacing w:before="198" w:after="160" w:line="259" w:lineRule="auto"/>
        <w:ind w:right="-20"/>
        <w:contextualSpacing w:val="0"/>
        <w:jc w:val="both"/>
        <w:rPr>
          <w:szCs w:val="24"/>
        </w:rPr>
      </w:pPr>
      <w:r w:rsidRPr="00C67672">
        <w:rPr>
          <w:szCs w:val="24"/>
        </w:rPr>
        <w:t>Remaining file documents are scanned in a way that preserves the integrity of the documents. The physical file [is destroyed/is maintained for ___ years]. No additional notice will be provided in advance of the destruction of the file.</w:t>
      </w:r>
    </w:p>
    <w:p w14:paraId="4A604CC3" w14:textId="77777777" w:rsidR="00C67672" w:rsidRPr="00C67672" w:rsidRDefault="00C67672" w:rsidP="00C67672">
      <w:pPr>
        <w:widowControl w:val="0"/>
        <w:numPr>
          <w:ilvl w:val="1"/>
          <w:numId w:val="4"/>
        </w:numPr>
        <w:tabs>
          <w:tab w:val="left" w:pos="943"/>
        </w:tabs>
        <w:autoSpaceDE w:val="0"/>
        <w:autoSpaceDN w:val="0"/>
        <w:spacing w:before="198" w:after="160" w:line="259" w:lineRule="auto"/>
        <w:ind w:right="-20"/>
        <w:contextualSpacing w:val="0"/>
        <w:jc w:val="both"/>
        <w:rPr>
          <w:szCs w:val="24"/>
        </w:rPr>
      </w:pPr>
      <w:r w:rsidRPr="00C67672">
        <w:rPr>
          <w:szCs w:val="24"/>
        </w:rPr>
        <w:t>A schedule for destruction of the electronic file is prepared. The destruction date should take into consideration the following:</w:t>
      </w:r>
      <w:r w:rsidRPr="00C67672">
        <w:rPr>
          <w:szCs w:val="24"/>
          <w:vertAlign w:val="superscript"/>
        </w:rPr>
        <w:footnoteReference w:id="1"/>
      </w:r>
    </w:p>
    <w:p w14:paraId="6B6DBCFD" w14:textId="77777777" w:rsidR="00C67672" w:rsidRPr="00C67672" w:rsidRDefault="00C67672" w:rsidP="00C67672">
      <w:pPr>
        <w:widowControl w:val="0"/>
        <w:numPr>
          <w:ilvl w:val="2"/>
          <w:numId w:val="4"/>
        </w:numPr>
        <w:autoSpaceDE w:val="0"/>
        <w:autoSpaceDN w:val="0"/>
        <w:spacing w:before="196" w:after="160" w:line="259" w:lineRule="auto"/>
        <w:ind w:left="1350" w:right="-20" w:hanging="631"/>
        <w:contextualSpacing w:val="0"/>
        <w:jc w:val="both"/>
        <w:rPr>
          <w:bCs/>
          <w:szCs w:val="24"/>
        </w:rPr>
      </w:pPr>
      <w:r w:rsidRPr="00C67672">
        <w:rPr>
          <w:bCs/>
          <w:szCs w:val="24"/>
        </w:rPr>
        <w:t>All matters: Withdrawal or discharge date, applicable statutes, whether the notice of claims period has expired, and other regulations.</w:t>
      </w:r>
    </w:p>
    <w:p w14:paraId="6BF8222E" w14:textId="77777777" w:rsidR="00C67672" w:rsidRPr="00C67672" w:rsidRDefault="00C67672" w:rsidP="00C67672">
      <w:pPr>
        <w:widowControl w:val="0"/>
        <w:numPr>
          <w:ilvl w:val="2"/>
          <w:numId w:val="4"/>
        </w:numPr>
        <w:tabs>
          <w:tab w:val="left" w:pos="1663"/>
        </w:tabs>
        <w:autoSpaceDE w:val="0"/>
        <w:autoSpaceDN w:val="0"/>
        <w:spacing w:before="197" w:after="160" w:line="242" w:lineRule="auto"/>
        <w:ind w:left="1350" w:right="-20" w:hanging="631"/>
        <w:contextualSpacing w:val="0"/>
        <w:jc w:val="both"/>
        <w:rPr>
          <w:bCs/>
          <w:szCs w:val="24"/>
        </w:rPr>
      </w:pPr>
      <w:r w:rsidRPr="00C67672">
        <w:rPr>
          <w:bCs/>
          <w:szCs w:val="24"/>
        </w:rPr>
        <w:t>Litigation: Satisfaction of judgment or final dismissal of all claims and/or exhaustion or abandonment of all appellate options.</w:t>
      </w:r>
    </w:p>
    <w:p w14:paraId="29442AAF" w14:textId="77777777" w:rsidR="00C67672" w:rsidRPr="00C67672" w:rsidRDefault="00C67672" w:rsidP="00C67672">
      <w:pPr>
        <w:widowControl w:val="0"/>
        <w:numPr>
          <w:ilvl w:val="2"/>
          <w:numId w:val="4"/>
        </w:numPr>
        <w:tabs>
          <w:tab w:val="left" w:pos="1663"/>
        </w:tabs>
        <w:autoSpaceDE w:val="0"/>
        <w:autoSpaceDN w:val="0"/>
        <w:spacing w:before="189" w:after="160" w:line="242" w:lineRule="auto"/>
        <w:ind w:left="1350" w:right="-20" w:hanging="631"/>
        <w:contextualSpacing w:val="0"/>
        <w:jc w:val="both"/>
        <w:rPr>
          <w:bCs/>
          <w:szCs w:val="24"/>
        </w:rPr>
      </w:pPr>
      <w:r w:rsidRPr="00C67672">
        <w:rPr>
          <w:bCs/>
          <w:szCs w:val="24"/>
        </w:rPr>
        <w:t>Bankruptcy: Discharge, debtor payment of claim, or discharge of trustee or receiver.</w:t>
      </w:r>
    </w:p>
    <w:p w14:paraId="37264BAC" w14:textId="77777777" w:rsidR="00C67672" w:rsidRPr="00C67672" w:rsidRDefault="00C67672" w:rsidP="00C67672">
      <w:pPr>
        <w:widowControl w:val="0"/>
        <w:numPr>
          <w:ilvl w:val="2"/>
          <w:numId w:val="4"/>
        </w:numPr>
        <w:tabs>
          <w:tab w:val="left" w:pos="1663"/>
        </w:tabs>
        <w:autoSpaceDE w:val="0"/>
        <w:autoSpaceDN w:val="0"/>
        <w:spacing w:before="189" w:after="160" w:line="242" w:lineRule="auto"/>
        <w:ind w:left="1350" w:right="-20" w:hanging="631"/>
        <w:contextualSpacing w:val="0"/>
        <w:jc w:val="both"/>
        <w:rPr>
          <w:bCs/>
          <w:szCs w:val="24"/>
        </w:rPr>
      </w:pPr>
      <w:r w:rsidRPr="00C67672">
        <w:rPr>
          <w:bCs/>
          <w:szCs w:val="24"/>
        </w:rPr>
        <w:t>Divorce: Final judgment or dismissal or date upon which marital settlement agreement is no longer effective, except when minor child custody is involved, in which event the date of the last minor child's reaching majority.</w:t>
      </w:r>
    </w:p>
    <w:p w14:paraId="5331E5FE" w14:textId="77777777" w:rsidR="00C67672" w:rsidRPr="00C67672" w:rsidRDefault="00C67672" w:rsidP="00C67672">
      <w:pPr>
        <w:widowControl w:val="0"/>
        <w:numPr>
          <w:ilvl w:val="2"/>
          <w:numId w:val="4"/>
        </w:numPr>
        <w:tabs>
          <w:tab w:val="left" w:pos="1663"/>
        </w:tabs>
        <w:autoSpaceDE w:val="0"/>
        <w:autoSpaceDN w:val="0"/>
        <w:spacing w:before="189" w:after="160" w:line="242" w:lineRule="auto"/>
        <w:ind w:left="1350" w:right="-20" w:hanging="631"/>
        <w:contextualSpacing w:val="0"/>
        <w:jc w:val="both"/>
        <w:rPr>
          <w:bCs/>
          <w:szCs w:val="24"/>
        </w:rPr>
      </w:pPr>
      <w:r w:rsidRPr="00C67672">
        <w:rPr>
          <w:bCs/>
          <w:szCs w:val="24"/>
        </w:rPr>
        <w:t>Probate claims and estate administration:  Acceptance of final accounting.</w:t>
      </w:r>
    </w:p>
    <w:p w14:paraId="3C511951" w14:textId="77777777" w:rsidR="00C67672" w:rsidRPr="00C67672" w:rsidRDefault="00C67672" w:rsidP="00C67672">
      <w:pPr>
        <w:widowControl w:val="0"/>
        <w:numPr>
          <w:ilvl w:val="2"/>
          <w:numId w:val="4"/>
        </w:numPr>
        <w:tabs>
          <w:tab w:val="left" w:pos="1663"/>
        </w:tabs>
        <w:autoSpaceDE w:val="0"/>
        <w:autoSpaceDN w:val="0"/>
        <w:spacing w:before="196" w:after="160" w:line="237" w:lineRule="auto"/>
        <w:ind w:left="1350" w:right="-20" w:hanging="631"/>
        <w:contextualSpacing w:val="0"/>
        <w:jc w:val="both"/>
        <w:rPr>
          <w:bCs/>
          <w:szCs w:val="24"/>
        </w:rPr>
      </w:pPr>
      <w:r w:rsidRPr="00C67672">
        <w:rPr>
          <w:bCs/>
          <w:szCs w:val="24"/>
        </w:rPr>
        <w:t>Tort claims: Final judgment or dismissal of action except when a minor is involved, in which event the date of such minor’s reaching majority.</w:t>
      </w:r>
    </w:p>
    <w:p w14:paraId="0E44FC50" w14:textId="77777777" w:rsidR="00C67672" w:rsidRPr="00C67672" w:rsidRDefault="00C67672" w:rsidP="00C67672">
      <w:pPr>
        <w:widowControl w:val="0"/>
        <w:numPr>
          <w:ilvl w:val="2"/>
          <w:numId w:val="4"/>
        </w:numPr>
        <w:tabs>
          <w:tab w:val="left" w:pos="1663"/>
        </w:tabs>
        <w:autoSpaceDE w:val="0"/>
        <w:autoSpaceDN w:val="0"/>
        <w:spacing w:before="70" w:after="160" w:line="242" w:lineRule="auto"/>
        <w:ind w:left="1350" w:right="-20" w:hanging="631"/>
        <w:contextualSpacing w:val="0"/>
        <w:jc w:val="both"/>
        <w:rPr>
          <w:bCs/>
          <w:szCs w:val="24"/>
        </w:rPr>
      </w:pPr>
      <w:r w:rsidRPr="00C67672">
        <w:rPr>
          <w:bCs/>
          <w:szCs w:val="24"/>
        </w:rPr>
        <w:t>Real estate transactions: Settlement date, judgment or foreclosure, or other completion of matter.</w:t>
      </w:r>
    </w:p>
    <w:p w14:paraId="07905245" w14:textId="77777777" w:rsidR="00C67672" w:rsidRPr="00C67672" w:rsidRDefault="00C67672" w:rsidP="00C67672">
      <w:pPr>
        <w:widowControl w:val="0"/>
        <w:numPr>
          <w:ilvl w:val="2"/>
          <w:numId w:val="4"/>
        </w:numPr>
        <w:tabs>
          <w:tab w:val="left" w:pos="1663"/>
        </w:tabs>
        <w:autoSpaceDE w:val="0"/>
        <w:autoSpaceDN w:val="0"/>
        <w:spacing w:before="196" w:after="160" w:line="259" w:lineRule="auto"/>
        <w:ind w:left="1350" w:right="-20" w:hanging="631"/>
        <w:contextualSpacing w:val="0"/>
        <w:jc w:val="both"/>
        <w:rPr>
          <w:bCs/>
          <w:szCs w:val="24"/>
        </w:rPr>
      </w:pPr>
      <w:r w:rsidRPr="00C67672">
        <w:rPr>
          <w:bCs/>
          <w:szCs w:val="24"/>
        </w:rPr>
        <w:t>Leases: Termination of lease.</w:t>
      </w:r>
    </w:p>
    <w:p w14:paraId="46B0E64D" w14:textId="77777777" w:rsidR="00C67672" w:rsidRPr="00C67672" w:rsidRDefault="00C67672" w:rsidP="00C67672">
      <w:pPr>
        <w:widowControl w:val="0"/>
        <w:numPr>
          <w:ilvl w:val="2"/>
          <w:numId w:val="4"/>
        </w:numPr>
        <w:tabs>
          <w:tab w:val="left" w:pos="1663"/>
        </w:tabs>
        <w:autoSpaceDE w:val="0"/>
        <w:autoSpaceDN w:val="0"/>
        <w:spacing w:before="196" w:after="160" w:line="259" w:lineRule="auto"/>
        <w:ind w:left="1350" w:right="-20" w:hanging="631"/>
        <w:contextualSpacing w:val="0"/>
        <w:jc w:val="both"/>
        <w:rPr>
          <w:bCs/>
          <w:szCs w:val="24"/>
        </w:rPr>
      </w:pPr>
      <w:r w:rsidRPr="00C67672">
        <w:rPr>
          <w:bCs/>
          <w:szCs w:val="24"/>
        </w:rPr>
        <w:t>Estate Planning: When documents completed, unless concerns regarding competency.</w:t>
      </w:r>
    </w:p>
    <w:p w14:paraId="0B7FEB85" w14:textId="77777777" w:rsidR="00C67672" w:rsidRPr="00C67672" w:rsidRDefault="00C67672" w:rsidP="00C67672">
      <w:pPr>
        <w:widowControl w:val="0"/>
        <w:numPr>
          <w:ilvl w:val="2"/>
          <w:numId w:val="4"/>
        </w:numPr>
        <w:tabs>
          <w:tab w:val="left" w:pos="1663"/>
        </w:tabs>
        <w:autoSpaceDE w:val="0"/>
        <w:autoSpaceDN w:val="0"/>
        <w:spacing w:before="196" w:after="160" w:line="259" w:lineRule="auto"/>
        <w:ind w:left="1350" w:right="-20" w:hanging="631"/>
        <w:contextualSpacing w:val="0"/>
        <w:jc w:val="both"/>
        <w:rPr>
          <w:bCs/>
          <w:szCs w:val="24"/>
        </w:rPr>
      </w:pPr>
      <w:r w:rsidRPr="00C67672">
        <w:rPr>
          <w:bCs/>
          <w:szCs w:val="24"/>
        </w:rPr>
        <w:t>Business Incorporation: When incorporation occurs with consideration of any foreseeable disagreements over incorporation matters.</w:t>
      </w:r>
    </w:p>
    <w:p w14:paraId="457B1519" w14:textId="77777777" w:rsidR="00C67672" w:rsidRPr="00C67672" w:rsidRDefault="00C67672" w:rsidP="00C67672">
      <w:pPr>
        <w:widowControl w:val="0"/>
        <w:numPr>
          <w:ilvl w:val="0"/>
          <w:numId w:val="4"/>
        </w:numPr>
        <w:autoSpaceDE w:val="0"/>
        <w:autoSpaceDN w:val="0"/>
        <w:spacing w:before="75" w:after="160" w:line="259" w:lineRule="auto"/>
        <w:ind w:right="-20"/>
        <w:contextualSpacing w:val="0"/>
        <w:jc w:val="both"/>
        <w:rPr>
          <w:szCs w:val="24"/>
        </w:rPr>
      </w:pPr>
      <w:r w:rsidRPr="00C67672">
        <w:rPr>
          <w:szCs w:val="24"/>
        </w:rPr>
        <w:t>All files shall be maintained in storage for a minimum of ___ years beyond the closing date of the file.</w:t>
      </w:r>
    </w:p>
    <w:p w14:paraId="1DE53A5F" w14:textId="77777777" w:rsidR="00C67672" w:rsidRPr="00C67672" w:rsidRDefault="00C67672" w:rsidP="00C67672">
      <w:pPr>
        <w:widowControl w:val="0"/>
        <w:numPr>
          <w:ilvl w:val="1"/>
          <w:numId w:val="4"/>
        </w:numPr>
        <w:tabs>
          <w:tab w:val="left" w:pos="1664"/>
        </w:tabs>
        <w:autoSpaceDE w:val="0"/>
        <w:autoSpaceDN w:val="0"/>
        <w:spacing w:before="200" w:after="160" w:line="259" w:lineRule="auto"/>
        <w:ind w:right="-20"/>
        <w:contextualSpacing w:val="0"/>
        <w:jc w:val="both"/>
        <w:rPr>
          <w:szCs w:val="24"/>
        </w:rPr>
      </w:pPr>
      <w:r w:rsidRPr="00C67672">
        <w:rPr>
          <w:szCs w:val="24"/>
        </w:rPr>
        <w:t xml:space="preserve">Electronic files will be stored on a server with appropriate security to ensure there is no unauthorized access and with offsite backups in place.  </w:t>
      </w:r>
    </w:p>
    <w:p w14:paraId="7DFD23A0" w14:textId="77777777" w:rsidR="00C67672" w:rsidRPr="00C67672" w:rsidRDefault="00C67672" w:rsidP="00C67672">
      <w:pPr>
        <w:widowControl w:val="0"/>
        <w:numPr>
          <w:ilvl w:val="1"/>
          <w:numId w:val="4"/>
        </w:numPr>
        <w:tabs>
          <w:tab w:val="left" w:pos="1664"/>
        </w:tabs>
        <w:autoSpaceDE w:val="0"/>
        <w:autoSpaceDN w:val="0"/>
        <w:spacing w:before="200" w:after="160" w:line="259" w:lineRule="auto"/>
        <w:ind w:right="-20"/>
        <w:contextualSpacing w:val="0"/>
        <w:jc w:val="both"/>
        <w:rPr>
          <w:szCs w:val="24"/>
        </w:rPr>
      </w:pPr>
      <w:r w:rsidRPr="00C67672">
        <w:rPr>
          <w:szCs w:val="24"/>
        </w:rPr>
        <w:lastRenderedPageBreak/>
        <w:t>Physical closed files will be stored:</w:t>
      </w:r>
    </w:p>
    <w:p w14:paraId="734CBE83" w14:textId="77777777" w:rsidR="00C67672" w:rsidRPr="00C67672" w:rsidRDefault="00C67672" w:rsidP="00C67672">
      <w:pPr>
        <w:widowControl w:val="0"/>
        <w:numPr>
          <w:ilvl w:val="2"/>
          <w:numId w:val="4"/>
        </w:numPr>
        <w:tabs>
          <w:tab w:val="left" w:pos="2023"/>
          <w:tab w:val="left" w:pos="2024"/>
        </w:tabs>
        <w:autoSpaceDE w:val="0"/>
        <w:autoSpaceDN w:val="0"/>
        <w:spacing w:before="202" w:after="160" w:line="259" w:lineRule="auto"/>
        <w:ind w:right="-20" w:hanging="361"/>
        <w:contextualSpacing w:val="0"/>
        <w:jc w:val="both"/>
        <w:rPr>
          <w:szCs w:val="24"/>
        </w:rPr>
      </w:pPr>
      <w:r w:rsidRPr="00C67672">
        <w:rPr>
          <w:szCs w:val="24"/>
        </w:rPr>
        <w:t>On-site for the first two (2) years after closing.</w:t>
      </w:r>
    </w:p>
    <w:p w14:paraId="62359E80" w14:textId="77777777" w:rsidR="00C67672" w:rsidRPr="00C67672" w:rsidRDefault="00C67672" w:rsidP="00C67672">
      <w:pPr>
        <w:widowControl w:val="0"/>
        <w:numPr>
          <w:ilvl w:val="2"/>
          <w:numId w:val="4"/>
        </w:numPr>
        <w:tabs>
          <w:tab w:val="left" w:pos="2024"/>
        </w:tabs>
        <w:autoSpaceDE w:val="0"/>
        <w:autoSpaceDN w:val="0"/>
        <w:spacing w:after="160" w:line="259" w:lineRule="auto"/>
        <w:ind w:right="-20" w:hanging="361"/>
        <w:contextualSpacing w:val="0"/>
        <w:jc w:val="both"/>
        <w:rPr>
          <w:szCs w:val="24"/>
        </w:rPr>
      </w:pPr>
      <w:r w:rsidRPr="00C67672">
        <w:rPr>
          <w:szCs w:val="24"/>
        </w:rPr>
        <w:t>Off-site after the first two (2) years after closing.</w:t>
      </w:r>
    </w:p>
    <w:p w14:paraId="3E0E7888" w14:textId="77777777" w:rsidR="00C67672" w:rsidRPr="00C67672" w:rsidRDefault="00C67672" w:rsidP="00C67672">
      <w:pPr>
        <w:widowControl w:val="0"/>
        <w:numPr>
          <w:ilvl w:val="2"/>
          <w:numId w:val="4"/>
        </w:numPr>
        <w:tabs>
          <w:tab w:val="left" w:pos="1663"/>
        </w:tabs>
        <w:autoSpaceDE w:val="0"/>
        <w:autoSpaceDN w:val="0"/>
        <w:spacing w:before="4" w:after="160" w:line="230" w:lineRule="auto"/>
        <w:ind w:right="-20"/>
        <w:contextualSpacing w:val="0"/>
        <w:jc w:val="both"/>
        <w:rPr>
          <w:szCs w:val="24"/>
        </w:rPr>
      </w:pPr>
      <w:r w:rsidRPr="00C67672">
        <w:rPr>
          <w:szCs w:val="24"/>
        </w:rPr>
        <w:t>The storage facility must be physically secure to protect client confidences and reasonably safe from environmental factors such as wetness.</w:t>
      </w:r>
    </w:p>
    <w:p w14:paraId="4C32BFB0" w14:textId="77777777" w:rsidR="00C67672" w:rsidRPr="00C67672" w:rsidRDefault="00C67672" w:rsidP="00C67672">
      <w:pPr>
        <w:widowControl w:val="0"/>
        <w:numPr>
          <w:ilvl w:val="2"/>
          <w:numId w:val="4"/>
        </w:numPr>
        <w:tabs>
          <w:tab w:val="left" w:pos="1663"/>
        </w:tabs>
        <w:autoSpaceDE w:val="0"/>
        <w:autoSpaceDN w:val="0"/>
        <w:spacing w:before="4" w:after="160" w:line="230" w:lineRule="auto"/>
        <w:ind w:right="-20"/>
        <w:contextualSpacing w:val="0"/>
        <w:jc w:val="both"/>
        <w:rPr>
          <w:szCs w:val="24"/>
        </w:rPr>
      </w:pPr>
      <w:r w:rsidRPr="00C67672">
        <w:rPr>
          <w:szCs w:val="24"/>
        </w:rPr>
        <w:t>Off-site storage is [Name &amp; Address of storage location]</w:t>
      </w:r>
    </w:p>
    <w:p w14:paraId="51F0AB50" w14:textId="77777777" w:rsidR="00C67672" w:rsidRPr="00C67672" w:rsidRDefault="00C67672" w:rsidP="00C67672">
      <w:pPr>
        <w:widowControl w:val="0"/>
        <w:tabs>
          <w:tab w:val="left" w:pos="1664"/>
        </w:tabs>
        <w:autoSpaceDE w:val="0"/>
        <w:autoSpaceDN w:val="0"/>
        <w:spacing w:line="237" w:lineRule="auto"/>
        <w:ind w:right="-20"/>
        <w:contextualSpacing w:val="0"/>
        <w:jc w:val="both"/>
        <w:rPr>
          <w:szCs w:val="24"/>
        </w:rPr>
      </w:pPr>
    </w:p>
    <w:p w14:paraId="18E8F6E1" w14:textId="77777777" w:rsidR="00C67672" w:rsidRPr="00C67672" w:rsidRDefault="00C67672" w:rsidP="00C67672">
      <w:pPr>
        <w:spacing w:after="160" w:line="259" w:lineRule="auto"/>
        <w:contextualSpacing w:val="0"/>
        <w:jc w:val="both"/>
        <w:rPr>
          <w:b/>
          <w:bCs/>
          <w:szCs w:val="24"/>
        </w:rPr>
      </w:pPr>
      <w:r w:rsidRPr="00C67672">
        <w:rPr>
          <w:b/>
          <w:bCs/>
          <w:szCs w:val="24"/>
        </w:rPr>
        <w:t>Destruction Guidelines</w:t>
      </w:r>
    </w:p>
    <w:p w14:paraId="3C53CEE9" w14:textId="77777777" w:rsidR="00C67672" w:rsidRPr="00C67672" w:rsidRDefault="00C67672" w:rsidP="00C67672">
      <w:pPr>
        <w:widowControl w:val="0"/>
        <w:numPr>
          <w:ilvl w:val="0"/>
          <w:numId w:val="1"/>
        </w:numPr>
        <w:autoSpaceDE w:val="0"/>
        <w:autoSpaceDN w:val="0"/>
        <w:spacing w:before="210" w:after="160" w:line="237" w:lineRule="auto"/>
        <w:ind w:left="360" w:right="-20"/>
        <w:contextualSpacing w:val="0"/>
        <w:jc w:val="both"/>
        <w:rPr>
          <w:szCs w:val="24"/>
        </w:rPr>
      </w:pPr>
      <w:r w:rsidRPr="00C67672">
        <w:rPr>
          <w:szCs w:val="24"/>
        </w:rPr>
        <w:t>After a minimum of____ years, files may be reviewed by an attorney for destruction.</w:t>
      </w:r>
    </w:p>
    <w:p w14:paraId="76358AD2" w14:textId="77777777" w:rsidR="00C67672" w:rsidRPr="00C67672" w:rsidRDefault="00C67672" w:rsidP="00C67672">
      <w:pPr>
        <w:widowControl w:val="0"/>
        <w:numPr>
          <w:ilvl w:val="0"/>
          <w:numId w:val="1"/>
        </w:numPr>
        <w:autoSpaceDE w:val="0"/>
        <w:autoSpaceDN w:val="0"/>
        <w:spacing w:before="203" w:after="160" w:line="259" w:lineRule="auto"/>
        <w:ind w:left="360" w:right="-20"/>
        <w:contextualSpacing w:val="0"/>
        <w:jc w:val="both"/>
        <w:rPr>
          <w:szCs w:val="24"/>
        </w:rPr>
      </w:pPr>
      <w:r w:rsidRPr="00C67672">
        <w:rPr>
          <w:szCs w:val="24"/>
        </w:rPr>
        <w:t>No file may be destroyed until it has been reviewed individually by an attorney and it is determined that the file may be destroyed.</w:t>
      </w:r>
    </w:p>
    <w:p w14:paraId="7F1B93BF" w14:textId="77777777" w:rsidR="00C67672" w:rsidRPr="00C67672" w:rsidRDefault="00C67672" w:rsidP="00C67672">
      <w:pPr>
        <w:widowControl w:val="0"/>
        <w:numPr>
          <w:ilvl w:val="1"/>
          <w:numId w:val="1"/>
        </w:numPr>
        <w:tabs>
          <w:tab w:val="left" w:pos="1304"/>
          <w:tab w:val="left" w:pos="1440"/>
        </w:tabs>
        <w:autoSpaceDE w:val="0"/>
        <w:autoSpaceDN w:val="0"/>
        <w:spacing w:before="196" w:after="160" w:line="259" w:lineRule="auto"/>
        <w:ind w:left="720" w:right="-20"/>
        <w:contextualSpacing w:val="0"/>
        <w:jc w:val="both"/>
        <w:rPr>
          <w:szCs w:val="24"/>
        </w:rPr>
      </w:pPr>
      <w:r w:rsidRPr="00C67672">
        <w:rPr>
          <w:szCs w:val="24"/>
        </w:rPr>
        <w:t>Any client property in the file must be returned to the client before destruction.</w:t>
      </w:r>
    </w:p>
    <w:p w14:paraId="5FFFF128" w14:textId="77777777" w:rsidR="00C67672" w:rsidRPr="00C67672" w:rsidRDefault="00C67672" w:rsidP="00C67672">
      <w:pPr>
        <w:widowControl w:val="0"/>
        <w:numPr>
          <w:ilvl w:val="1"/>
          <w:numId w:val="1"/>
        </w:numPr>
        <w:tabs>
          <w:tab w:val="left" w:pos="1304"/>
          <w:tab w:val="left" w:pos="1440"/>
        </w:tabs>
        <w:autoSpaceDE w:val="0"/>
        <w:autoSpaceDN w:val="0"/>
        <w:spacing w:before="199" w:after="160" w:line="259" w:lineRule="auto"/>
        <w:ind w:left="720" w:right="-20"/>
        <w:contextualSpacing w:val="0"/>
        <w:jc w:val="both"/>
        <w:rPr>
          <w:szCs w:val="24"/>
        </w:rPr>
      </w:pPr>
      <w:r w:rsidRPr="00C67672">
        <w:rPr>
          <w:szCs w:val="24"/>
        </w:rPr>
        <w:t>The reviewing attorney will exercise professional judgment in determining whether the file is suitable for destruction, erring on the side of retaining the file if the file may be needed in the future. Those reasons include, but are not limited to:</w:t>
      </w:r>
    </w:p>
    <w:p w14:paraId="78D38596" w14:textId="77777777" w:rsidR="00C67672" w:rsidRPr="00C67672" w:rsidRDefault="00C67672" w:rsidP="00C67672">
      <w:pPr>
        <w:widowControl w:val="0"/>
        <w:numPr>
          <w:ilvl w:val="2"/>
          <w:numId w:val="1"/>
        </w:numPr>
        <w:tabs>
          <w:tab w:val="left" w:pos="1304"/>
          <w:tab w:val="left" w:pos="1800"/>
        </w:tabs>
        <w:autoSpaceDE w:val="0"/>
        <w:autoSpaceDN w:val="0"/>
        <w:spacing w:after="160" w:line="259" w:lineRule="auto"/>
        <w:ind w:left="1080" w:right="-14"/>
        <w:contextualSpacing w:val="0"/>
        <w:jc w:val="both"/>
        <w:rPr>
          <w:szCs w:val="24"/>
        </w:rPr>
      </w:pPr>
      <w:r w:rsidRPr="00C67672">
        <w:rPr>
          <w:szCs w:val="24"/>
        </w:rPr>
        <w:t>The statute of limitation for malpractice claims has been tolled or has not yet run.</w:t>
      </w:r>
    </w:p>
    <w:p w14:paraId="65B8C792" w14:textId="77777777" w:rsidR="00C67672" w:rsidRPr="00C67672" w:rsidRDefault="00C67672" w:rsidP="00C67672">
      <w:pPr>
        <w:widowControl w:val="0"/>
        <w:numPr>
          <w:ilvl w:val="2"/>
          <w:numId w:val="1"/>
        </w:numPr>
        <w:tabs>
          <w:tab w:val="left" w:pos="1304"/>
          <w:tab w:val="left" w:pos="1800"/>
        </w:tabs>
        <w:autoSpaceDE w:val="0"/>
        <w:autoSpaceDN w:val="0"/>
        <w:spacing w:after="160" w:line="259" w:lineRule="auto"/>
        <w:ind w:left="1080" w:right="-14"/>
        <w:contextualSpacing w:val="0"/>
        <w:jc w:val="both"/>
        <w:rPr>
          <w:szCs w:val="24"/>
        </w:rPr>
      </w:pPr>
      <w:r w:rsidRPr="00C67672">
        <w:rPr>
          <w:szCs w:val="24"/>
        </w:rPr>
        <w:t>The underlying case involved a minor who has not yet reached the age of majority.</w:t>
      </w:r>
    </w:p>
    <w:p w14:paraId="7CCD2472" w14:textId="77777777" w:rsidR="00C67672" w:rsidRPr="00C67672" w:rsidRDefault="00C67672" w:rsidP="00C67672">
      <w:pPr>
        <w:widowControl w:val="0"/>
        <w:numPr>
          <w:ilvl w:val="2"/>
          <w:numId w:val="1"/>
        </w:numPr>
        <w:tabs>
          <w:tab w:val="left" w:pos="1304"/>
          <w:tab w:val="left" w:pos="1800"/>
        </w:tabs>
        <w:autoSpaceDE w:val="0"/>
        <w:autoSpaceDN w:val="0"/>
        <w:spacing w:after="160" w:line="259" w:lineRule="auto"/>
        <w:ind w:left="1080" w:right="-14" w:hanging="361"/>
        <w:contextualSpacing w:val="0"/>
        <w:jc w:val="both"/>
        <w:rPr>
          <w:szCs w:val="24"/>
        </w:rPr>
      </w:pPr>
      <w:r w:rsidRPr="00C67672">
        <w:rPr>
          <w:szCs w:val="24"/>
        </w:rPr>
        <w:t>The file involved a troublesome client or outcome.</w:t>
      </w:r>
    </w:p>
    <w:p w14:paraId="64FC25A5" w14:textId="77777777" w:rsidR="00C67672" w:rsidRPr="00C67672" w:rsidRDefault="00C67672" w:rsidP="00C67672">
      <w:pPr>
        <w:widowControl w:val="0"/>
        <w:numPr>
          <w:ilvl w:val="2"/>
          <w:numId w:val="1"/>
        </w:numPr>
        <w:tabs>
          <w:tab w:val="left" w:pos="1304"/>
          <w:tab w:val="left" w:pos="1800"/>
        </w:tabs>
        <w:autoSpaceDE w:val="0"/>
        <w:autoSpaceDN w:val="0"/>
        <w:spacing w:after="160" w:line="259" w:lineRule="auto"/>
        <w:ind w:left="1080" w:right="-14"/>
        <w:contextualSpacing w:val="0"/>
        <w:jc w:val="both"/>
        <w:rPr>
          <w:bCs/>
          <w:szCs w:val="24"/>
        </w:rPr>
      </w:pPr>
      <w:r w:rsidRPr="00C67672">
        <w:rPr>
          <w:szCs w:val="24"/>
        </w:rPr>
        <w:t xml:space="preserve">The file involved an area of law or cause of action where either for substantive reasons or client relations reasons, information in the file may be needed in the future. </w:t>
      </w:r>
    </w:p>
    <w:p w14:paraId="383D0B13" w14:textId="77777777" w:rsidR="00C67672" w:rsidRPr="00C67672" w:rsidRDefault="00C67672" w:rsidP="00C67672">
      <w:pPr>
        <w:widowControl w:val="0"/>
        <w:numPr>
          <w:ilvl w:val="0"/>
          <w:numId w:val="1"/>
        </w:numPr>
        <w:autoSpaceDE w:val="0"/>
        <w:autoSpaceDN w:val="0"/>
        <w:spacing w:before="201" w:after="160" w:line="237" w:lineRule="auto"/>
        <w:ind w:left="360" w:right="-20"/>
        <w:contextualSpacing w:val="0"/>
        <w:jc w:val="both"/>
        <w:rPr>
          <w:szCs w:val="24"/>
        </w:rPr>
      </w:pPr>
      <w:r w:rsidRPr="00C67672">
        <w:rPr>
          <w:szCs w:val="24"/>
        </w:rPr>
        <w:t>A permanent list or database of destroyed files must be kept.</w:t>
      </w:r>
    </w:p>
    <w:p w14:paraId="18DEB378" w14:textId="77777777" w:rsidR="00C67672" w:rsidRPr="00C67672" w:rsidRDefault="00C67672" w:rsidP="00C67672">
      <w:pPr>
        <w:widowControl w:val="0"/>
        <w:numPr>
          <w:ilvl w:val="0"/>
          <w:numId w:val="1"/>
        </w:numPr>
        <w:autoSpaceDE w:val="0"/>
        <w:autoSpaceDN w:val="0"/>
        <w:spacing w:before="203" w:after="160" w:line="259" w:lineRule="auto"/>
        <w:ind w:left="360" w:right="-20"/>
        <w:contextualSpacing w:val="0"/>
        <w:jc w:val="both"/>
        <w:rPr>
          <w:szCs w:val="24"/>
        </w:rPr>
      </w:pPr>
      <w:r w:rsidRPr="00C67672">
        <w:rPr>
          <w:szCs w:val="24"/>
        </w:rPr>
        <w:t>Destruction must be accomplished in a manner that preserves client confidences, including shredding, burning, or any other method that destroys media beyond reconstruction in an environmentally sound manner. The person or service performing the destruction should certify, in writing, the date, location, and method used and do so under a formal non-disclosure agreement binding the company and its employees.</w:t>
      </w:r>
    </w:p>
    <w:p w14:paraId="70990CFC" w14:textId="7866AC09" w:rsidR="00FE7C54" w:rsidRPr="004F151E" w:rsidRDefault="00FE7C54">
      <w:pPr>
        <w:rPr>
          <w:szCs w:val="24"/>
        </w:rPr>
      </w:pPr>
    </w:p>
    <w:p w14:paraId="15E2D33B" w14:textId="39CE2F83" w:rsidR="00C67672" w:rsidRPr="004F151E" w:rsidRDefault="00C67672">
      <w:pPr>
        <w:rPr>
          <w:szCs w:val="24"/>
        </w:rPr>
      </w:pPr>
    </w:p>
    <w:p w14:paraId="36018D75" w14:textId="749C8550" w:rsidR="00C67672" w:rsidRPr="004F151E" w:rsidRDefault="00C67672">
      <w:pPr>
        <w:rPr>
          <w:szCs w:val="24"/>
        </w:rPr>
      </w:pPr>
    </w:p>
    <w:p w14:paraId="33B336AA" w14:textId="1C1023E9" w:rsidR="00C67672" w:rsidRPr="004F151E" w:rsidRDefault="00C67672">
      <w:pPr>
        <w:rPr>
          <w:szCs w:val="24"/>
        </w:rPr>
      </w:pPr>
      <w:r w:rsidRPr="004F151E">
        <w:rPr>
          <w:szCs w:val="24"/>
        </w:rPr>
        <w:t>*Note: This document does not constitute legal advice and is not an ethics opinion.</w:t>
      </w:r>
    </w:p>
    <w:sectPr w:rsidR="00C67672" w:rsidRPr="004F15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C8AD" w14:textId="77777777" w:rsidR="00C67672" w:rsidRDefault="00C67672" w:rsidP="00C67672">
      <w:r>
        <w:separator/>
      </w:r>
    </w:p>
  </w:endnote>
  <w:endnote w:type="continuationSeparator" w:id="0">
    <w:p w14:paraId="35180A3D" w14:textId="77777777" w:rsidR="00C67672" w:rsidRDefault="00C67672" w:rsidP="00C6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2F39" w14:textId="77777777" w:rsidR="00C67672" w:rsidRDefault="00C67672" w:rsidP="00C67672">
      <w:r>
        <w:separator/>
      </w:r>
    </w:p>
  </w:footnote>
  <w:footnote w:type="continuationSeparator" w:id="0">
    <w:p w14:paraId="432AC30B" w14:textId="77777777" w:rsidR="00C67672" w:rsidRDefault="00C67672" w:rsidP="00C67672">
      <w:r>
        <w:continuationSeparator/>
      </w:r>
    </w:p>
  </w:footnote>
  <w:footnote w:id="1">
    <w:p w14:paraId="3297B4B9" w14:textId="77777777" w:rsidR="00C67672" w:rsidRDefault="00C67672" w:rsidP="00C67672">
      <w:pPr>
        <w:pStyle w:val="FootnoteText"/>
      </w:pPr>
      <w:r>
        <w:rPr>
          <w:rStyle w:val="FootnoteReference"/>
        </w:rPr>
        <w:footnoteRef/>
      </w:r>
      <w:r>
        <w:t xml:space="preserve"> This is not an exhaustive list and does not encompass all considerations based on the type of matter.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5231B"/>
    <w:multiLevelType w:val="hybridMultilevel"/>
    <w:tmpl w:val="0696275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57047CF8"/>
    <w:multiLevelType w:val="hybridMultilevel"/>
    <w:tmpl w:val="CC3E047E"/>
    <w:lvl w:ilvl="0" w:tplc="2BDC0230">
      <w:start w:val="1"/>
      <w:numFmt w:val="decimal"/>
      <w:lvlText w:val="%1)"/>
      <w:lvlJc w:val="left"/>
      <w:pPr>
        <w:ind w:left="1304" w:hanging="360"/>
      </w:pPr>
      <w:rPr>
        <w:rFonts w:ascii="Arial" w:eastAsia="Arial" w:hAnsi="Arial" w:cs="Arial" w:hint="default"/>
        <w:b w:val="0"/>
        <w:bCs w:val="0"/>
        <w:i w:val="0"/>
        <w:iCs w:val="0"/>
        <w:w w:val="100"/>
        <w:sz w:val="22"/>
        <w:szCs w:val="22"/>
      </w:rPr>
    </w:lvl>
    <w:lvl w:ilvl="1" w:tplc="6636ABE0">
      <w:start w:val="1"/>
      <w:numFmt w:val="lowerLetter"/>
      <w:lvlText w:val="%2)"/>
      <w:lvlJc w:val="left"/>
      <w:rPr>
        <w:rFonts w:ascii="Arial" w:eastAsia="Arial" w:hAnsi="Arial" w:cs="Arial" w:hint="default"/>
        <w:b w:val="0"/>
        <w:bCs w:val="0"/>
        <w:i w:val="0"/>
        <w:iCs w:val="0"/>
        <w:w w:val="100"/>
        <w:sz w:val="22"/>
        <w:szCs w:val="22"/>
      </w:rPr>
    </w:lvl>
    <w:lvl w:ilvl="2" w:tplc="24AE90D4">
      <w:start w:val="1"/>
      <w:numFmt w:val="lowerRoman"/>
      <w:lvlText w:val="%3)"/>
      <w:lvlJc w:val="left"/>
      <w:pPr>
        <w:ind w:left="2024" w:hanging="360"/>
      </w:pPr>
      <w:rPr>
        <w:rFonts w:hint="default"/>
        <w:spacing w:val="-10"/>
        <w:w w:val="100"/>
      </w:rPr>
    </w:lvl>
    <w:lvl w:ilvl="3" w:tplc="7C5C3EB0">
      <w:numFmt w:val="bullet"/>
      <w:lvlText w:val="•"/>
      <w:lvlJc w:val="left"/>
      <w:pPr>
        <w:ind w:left="2867" w:hanging="360"/>
      </w:pPr>
      <w:rPr>
        <w:rFonts w:hint="default"/>
      </w:rPr>
    </w:lvl>
    <w:lvl w:ilvl="4" w:tplc="69C875F2">
      <w:numFmt w:val="bullet"/>
      <w:lvlText w:val="•"/>
      <w:lvlJc w:val="left"/>
      <w:pPr>
        <w:ind w:left="3715" w:hanging="360"/>
      </w:pPr>
      <w:rPr>
        <w:rFonts w:hint="default"/>
      </w:rPr>
    </w:lvl>
    <w:lvl w:ilvl="5" w:tplc="31D2925C">
      <w:numFmt w:val="bullet"/>
      <w:lvlText w:val="•"/>
      <w:lvlJc w:val="left"/>
      <w:pPr>
        <w:ind w:left="4562" w:hanging="360"/>
      </w:pPr>
      <w:rPr>
        <w:rFonts w:hint="default"/>
      </w:rPr>
    </w:lvl>
    <w:lvl w:ilvl="6" w:tplc="689212CE">
      <w:numFmt w:val="bullet"/>
      <w:lvlText w:val="•"/>
      <w:lvlJc w:val="left"/>
      <w:pPr>
        <w:ind w:left="5410" w:hanging="360"/>
      </w:pPr>
      <w:rPr>
        <w:rFonts w:hint="default"/>
      </w:rPr>
    </w:lvl>
    <w:lvl w:ilvl="7" w:tplc="D7D24BE4">
      <w:numFmt w:val="bullet"/>
      <w:lvlText w:val="•"/>
      <w:lvlJc w:val="left"/>
      <w:pPr>
        <w:ind w:left="6257" w:hanging="360"/>
      </w:pPr>
      <w:rPr>
        <w:rFonts w:hint="default"/>
      </w:rPr>
    </w:lvl>
    <w:lvl w:ilvl="8" w:tplc="FC62EEF6">
      <w:numFmt w:val="bullet"/>
      <w:lvlText w:val="•"/>
      <w:lvlJc w:val="left"/>
      <w:pPr>
        <w:ind w:left="7105" w:hanging="360"/>
      </w:pPr>
      <w:rPr>
        <w:rFonts w:hint="default"/>
      </w:rPr>
    </w:lvl>
  </w:abstractNum>
  <w:abstractNum w:abstractNumId="2" w15:restartNumberingAfterBreak="0">
    <w:nsid w:val="73386D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F327075"/>
    <w:multiLevelType w:val="hybridMultilevel"/>
    <w:tmpl w:val="6D80421E"/>
    <w:lvl w:ilvl="0" w:tplc="E1F4DFFA">
      <w:start w:val="1"/>
      <w:numFmt w:val="decimal"/>
      <w:lvlText w:val="%1)"/>
      <w:lvlJc w:val="left"/>
      <w:pPr>
        <w:ind w:left="1304" w:hanging="360"/>
      </w:pPr>
      <w:rPr>
        <w:rFonts w:ascii="Ebrima" w:eastAsia="Arial" w:hAnsi="Ebrima" w:cs="Arial" w:hint="default"/>
        <w:b w:val="0"/>
        <w:bCs w:val="0"/>
        <w:i w:val="0"/>
        <w:iCs w:val="0"/>
        <w:w w:val="100"/>
        <w:sz w:val="24"/>
        <w:szCs w:val="24"/>
      </w:rPr>
    </w:lvl>
    <w:lvl w:ilvl="1" w:tplc="D1C4F398">
      <w:start w:val="1"/>
      <w:numFmt w:val="lowerLetter"/>
      <w:lvlText w:val="%2)"/>
      <w:lvlJc w:val="left"/>
      <w:pPr>
        <w:ind w:left="1664" w:hanging="360"/>
      </w:pPr>
      <w:rPr>
        <w:rFonts w:ascii="Ebrima" w:eastAsia="Arial" w:hAnsi="Ebrima" w:cs="Arial" w:hint="default"/>
        <w:b w:val="0"/>
        <w:bCs w:val="0"/>
        <w:i w:val="0"/>
        <w:iCs w:val="0"/>
        <w:w w:val="100"/>
        <w:sz w:val="24"/>
        <w:szCs w:val="24"/>
      </w:rPr>
    </w:lvl>
    <w:lvl w:ilvl="2" w:tplc="E4A29B4E">
      <w:start w:val="1"/>
      <w:numFmt w:val="lowerRoman"/>
      <w:lvlText w:val="%3)"/>
      <w:lvlJc w:val="left"/>
      <w:pPr>
        <w:ind w:left="2024" w:hanging="360"/>
      </w:pPr>
      <w:rPr>
        <w:rFonts w:hint="default"/>
        <w:spacing w:val="-10"/>
        <w:w w:val="100"/>
      </w:rPr>
    </w:lvl>
    <w:lvl w:ilvl="3" w:tplc="A31C1056">
      <w:start w:val="1"/>
      <w:numFmt w:val="decimal"/>
      <w:lvlText w:val="(%4)"/>
      <w:lvlJc w:val="left"/>
      <w:pPr>
        <w:ind w:left="2384" w:hanging="360"/>
      </w:pPr>
      <w:rPr>
        <w:rFonts w:hint="default"/>
        <w:spacing w:val="-3"/>
        <w:w w:val="100"/>
      </w:rPr>
    </w:lvl>
    <w:lvl w:ilvl="4" w:tplc="39AE175A">
      <w:start w:val="1"/>
      <w:numFmt w:val="lowerLetter"/>
      <w:lvlText w:val="(%5)"/>
      <w:lvlJc w:val="left"/>
      <w:pPr>
        <w:ind w:left="2744" w:hanging="360"/>
      </w:pPr>
      <w:rPr>
        <w:rFonts w:hint="default"/>
        <w:spacing w:val="-3"/>
        <w:w w:val="100"/>
      </w:rPr>
    </w:lvl>
    <w:lvl w:ilvl="5" w:tplc="520C23BA">
      <w:numFmt w:val="bullet"/>
      <w:lvlText w:val="•"/>
      <w:lvlJc w:val="left"/>
      <w:pPr>
        <w:ind w:left="3750" w:hanging="360"/>
      </w:pPr>
      <w:rPr>
        <w:rFonts w:hint="default"/>
      </w:rPr>
    </w:lvl>
    <w:lvl w:ilvl="6" w:tplc="E7E01300">
      <w:numFmt w:val="bullet"/>
      <w:lvlText w:val="•"/>
      <w:lvlJc w:val="left"/>
      <w:pPr>
        <w:ind w:left="4760" w:hanging="360"/>
      </w:pPr>
      <w:rPr>
        <w:rFonts w:hint="default"/>
      </w:rPr>
    </w:lvl>
    <w:lvl w:ilvl="7" w:tplc="32428480">
      <w:numFmt w:val="bullet"/>
      <w:lvlText w:val="•"/>
      <w:lvlJc w:val="left"/>
      <w:pPr>
        <w:ind w:left="5770" w:hanging="360"/>
      </w:pPr>
      <w:rPr>
        <w:rFonts w:hint="default"/>
      </w:rPr>
    </w:lvl>
    <w:lvl w:ilvl="8" w:tplc="8BDE488C">
      <w:numFmt w:val="bullet"/>
      <w:lvlText w:val="•"/>
      <w:lvlJc w:val="left"/>
      <w:pPr>
        <w:ind w:left="678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72"/>
    <w:rsid w:val="004F151E"/>
    <w:rsid w:val="00C67672"/>
    <w:rsid w:val="00D97900"/>
    <w:rsid w:val="00EC1EFC"/>
    <w:rsid w:val="00FE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4F85"/>
  <w15:chartTrackingRefBased/>
  <w15:docId w15:val="{234841A6-ADB2-41F8-B918-A2C49158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00"/>
    <w:pPr>
      <w:spacing w:after="0" w:line="240" w:lineRule="auto"/>
      <w:contextualSpacing/>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7672"/>
    <w:pPr>
      <w:contextualSpacing w:val="0"/>
    </w:pPr>
    <w:rPr>
      <w:rFonts w:ascii="Ebrima" w:hAnsi="Ebrima"/>
      <w:sz w:val="20"/>
      <w:szCs w:val="20"/>
    </w:rPr>
  </w:style>
  <w:style w:type="character" w:customStyle="1" w:styleId="FootnoteTextChar">
    <w:name w:val="Footnote Text Char"/>
    <w:basedOn w:val="DefaultParagraphFont"/>
    <w:link w:val="FootnoteText"/>
    <w:uiPriority w:val="99"/>
    <w:semiHidden/>
    <w:rsid w:val="00C67672"/>
    <w:rPr>
      <w:rFonts w:ascii="Ebrima" w:hAnsi="Ebrima"/>
      <w:sz w:val="20"/>
      <w:szCs w:val="20"/>
    </w:rPr>
  </w:style>
  <w:style w:type="character" w:styleId="FootnoteReference">
    <w:name w:val="footnote reference"/>
    <w:basedOn w:val="DefaultParagraphFont"/>
    <w:uiPriority w:val="99"/>
    <w:semiHidden/>
    <w:unhideWhenUsed/>
    <w:rsid w:val="00C67672"/>
    <w:rPr>
      <w:vertAlign w:val="superscript"/>
    </w:rPr>
  </w:style>
  <w:style w:type="paragraph" w:styleId="Header">
    <w:name w:val="header"/>
    <w:basedOn w:val="Normal"/>
    <w:link w:val="HeaderChar"/>
    <w:uiPriority w:val="99"/>
    <w:unhideWhenUsed/>
    <w:rsid w:val="00C67672"/>
    <w:pPr>
      <w:tabs>
        <w:tab w:val="center" w:pos="4680"/>
        <w:tab w:val="right" w:pos="9360"/>
      </w:tabs>
    </w:pPr>
  </w:style>
  <w:style w:type="character" w:customStyle="1" w:styleId="HeaderChar">
    <w:name w:val="Header Char"/>
    <w:basedOn w:val="DefaultParagraphFont"/>
    <w:link w:val="Header"/>
    <w:uiPriority w:val="99"/>
    <w:rsid w:val="00C67672"/>
    <w:rPr>
      <w:rFonts w:ascii="Garamond" w:hAnsi="Garamond"/>
      <w:sz w:val="24"/>
    </w:rPr>
  </w:style>
  <w:style w:type="paragraph" w:styleId="Footer">
    <w:name w:val="footer"/>
    <w:basedOn w:val="Normal"/>
    <w:link w:val="FooterChar"/>
    <w:uiPriority w:val="99"/>
    <w:unhideWhenUsed/>
    <w:rsid w:val="00C67672"/>
    <w:pPr>
      <w:tabs>
        <w:tab w:val="center" w:pos="4680"/>
        <w:tab w:val="right" w:pos="9360"/>
      </w:tabs>
    </w:pPr>
  </w:style>
  <w:style w:type="character" w:customStyle="1" w:styleId="FooterChar">
    <w:name w:val="Footer Char"/>
    <w:basedOn w:val="DefaultParagraphFont"/>
    <w:link w:val="Footer"/>
    <w:uiPriority w:val="99"/>
    <w:rsid w:val="00C67672"/>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27D1D3C7DAB24094C1BDA0EB0B3E47" ma:contentTypeVersion="10" ma:contentTypeDescription="Create a new document." ma:contentTypeScope="" ma:versionID="b896e2c9e3f04e20e77efe66f0043b1c">
  <xsd:schema xmlns:xsd="http://www.w3.org/2001/XMLSchema" xmlns:xs="http://www.w3.org/2001/XMLSchema" xmlns:p="http://schemas.microsoft.com/office/2006/metadata/properties" xmlns:ns2="602bcbf7-2a12-4d27-a081-5add41e1a04a" xmlns:ns3="939eeee4-506e-42ac-8935-1184b123f8e0" targetNamespace="http://schemas.microsoft.com/office/2006/metadata/properties" ma:root="true" ma:fieldsID="b35afca82c36f27a8b7199d641d9f59f" ns2:_="" ns3:_="">
    <xsd:import namespace="602bcbf7-2a12-4d27-a081-5add41e1a04a"/>
    <xsd:import namespace="939eeee4-506e-42ac-8935-1184b123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bcbf7-2a12-4d27-a081-5add41e1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9eeee4-506e-42ac-8935-1184b123f8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15519-16F1-4FDB-A896-1AA869E34C25}">
  <ds:schemaRefs>
    <ds:schemaRef ds:uri="http://schemas.microsoft.com/sharepoint/v3/contenttype/forms"/>
  </ds:schemaRefs>
</ds:datastoreItem>
</file>

<file path=customXml/itemProps2.xml><?xml version="1.0" encoding="utf-8"?>
<ds:datastoreItem xmlns:ds="http://schemas.openxmlformats.org/officeDocument/2006/customXml" ds:itemID="{91630BE1-FBA2-47EB-9B0A-1B6A91E74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bcbf7-2a12-4d27-a081-5add41e1a04a"/>
    <ds:schemaRef ds:uri="939eeee4-506e-42ac-8935-1184b123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68388-546A-49BC-8870-31FA16D1DA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4823</Characters>
  <Application>Microsoft Office Word</Application>
  <DocSecurity>4</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Chandler</dc:creator>
  <cp:keywords/>
  <dc:description/>
  <cp:lastModifiedBy>Andrew Marks</cp:lastModifiedBy>
  <cp:revision>2</cp:revision>
  <dcterms:created xsi:type="dcterms:W3CDTF">2022-03-15T17:23:00Z</dcterms:created>
  <dcterms:modified xsi:type="dcterms:W3CDTF">2022-03-15T17:23:00Z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0x010100CC27D1D3C7DAB24094C1BDA0EB0B3E47</vt:lpwstr>
  </property>
</Properties>
</file>